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auto"/>
          <w:sz w:val="32"/>
          <w:szCs w:val="32"/>
          <w:highlight w:val="none"/>
          <w:u w:val="none" w:color="auto"/>
          <w:lang w:val="en-US" w:eastAsia="zh-CN"/>
        </w:rPr>
        <w:t>001</w:t>
      </w:r>
      <w:r>
        <w:rPr>
          <w:rFonts w:hint="eastAsia" w:ascii="仿宋_GB2312" w:hAnsi="仿宋_GB2312" w:eastAsia="仿宋_GB2312" w:cs="仿宋_GB2312"/>
          <w:color w:val="auto"/>
          <w:sz w:val="32"/>
          <w:szCs w:val="32"/>
          <w:u w:val="none" w:color="auto"/>
          <w:lang w:val="en-US" w:eastAsia="zh-CN"/>
        </w:rPr>
        <w:t>号</w:t>
      </w:r>
      <w:bookmarkStart w:id="0" w:name="_GoBack"/>
      <w:bookmarkEnd w:id="0"/>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_GB2312" w:hAnsi="仿宋_GB2312" w:eastAsia="仿宋_GB2312" w:cs="仿宋_GB2312"/>
          <w:color w:val="auto"/>
          <w:sz w:val="32"/>
          <w:szCs w:val="32"/>
          <w:u w:val="single" w:color="auto"/>
        </w:rPr>
        <w:t>当事人</w:t>
      </w:r>
      <w:r>
        <w:rPr>
          <w:rFonts w:hint="eastAsia" w:ascii="仿宋" w:hAnsi="仿宋" w:eastAsia="仿宋" w:cs="仿宋"/>
          <w:color w:val="auto"/>
          <w:sz w:val="32"/>
          <w:szCs w:val="32"/>
          <w:u w:val="single" w:color="auto"/>
          <w:lang w:val="en-US" w:eastAsia="zh-CN"/>
        </w:rPr>
        <w:t>：景德镇叶氏陶瓷有限公司；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统一社会信用代码：91360203076859620A；</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法定代表人：蔡立；</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住所：江西省景德镇市珠山区通站路恒业类摩尔街8栋155号店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成立日期：2013年08月23日；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核准日期：2016年09月27日；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景德镇叶氏陶瓷有限公司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景德镇叶氏陶瓷有限公司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景德镇叶氏陶瓷有限公司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pPr>
        <w:rPr>
          <w:color w:val="auto"/>
        </w:rPr>
      </w:pPr>
    </w:p>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3354F"/>
    <w:rsid w:val="32B9558F"/>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1261</Characters>
  <Lines>0</Lines>
  <Paragraphs>0</Paragraphs>
  <TotalTime>0</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明◉‿◉天</cp:lastModifiedBy>
  <dcterms:modified xsi:type="dcterms:W3CDTF">2025-03-11T01:09:33Z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eyJoZGlkIjoiYTEwYzNkNzY0ZDM5YWE2M2ZkMjdlMzZmNTM4YmE0OTMiLCJ1c2VySWQiOiI3NDIzNDQwMDEifQ==</vt:lpwstr>
  </property>
</Properties>
</file>